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3F" w:rsidRDefault="00C6632E">
      <w:pPr>
        <w:ind w:left="-567" w:right="-709"/>
        <w:rPr>
          <w:rFonts w:ascii="Arial" w:hAnsi="Arial" w:cs="Arial"/>
          <w:color w:val="000000"/>
          <w:sz w:val="19"/>
          <w:szCs w:val="19"/>
        </w:rPr>
      </w:pP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fldChar w:fldCharType="begin"/>
      </w:r>
      <w:r>
        <w:instrText xml:space="preserve"> INCLUDEPICTURE  "https://zutil.di.u-psud.fr/signature/images/EQ9TvSlB5TtwqrDXCLQJx9B08ZK90wVRE5vM6k-cJp4KYitxnryNtYBkHBdrRJY4ijF0vg.png" \* MERGEFORMATINET </w:instrText>
      </w:r>
      <w:r>
        <w:fldChar w:fldCharType="separate"/>
      </w:r>
      <w:r w:rsidR="00B1073B">
        <w:fldChar w:fldCharType="begin"/>
      </w:r>
      <w:r w:rsidR="00B1073B">
        <w:instrText xml:space="preserve"> </w:instrText>
      </w:r>
      <w:r w:rsidR="00B1073B">
        <w:instrText>INCLUDEPICTURE  "https://zutil.di.u-psud.fr/signature/images/EQ9TvSlB5TtwqrDXCLQJx9B08ZK90wVRE5vM6k-cJp4KYitxnryNtYBkHBdrRJY4ijF0vg.png" \*</w:instrText>
      </w:r>
      <w:r w:rsidR="00B1073B">
        <w:instrText xml:space="preserve"> MERGEFORMATINET</w:instrText>
      </w:r>
      <w:r w:rsidR="00B1073B">
        <w:instrText xml:space="preserve"> </w:instrText>
      </w:r>
      <w:r w:rsidR="00B1073B">
        <w:fldChar w:fldCharType="separate"/>
      </w:r>
      <w:r w:rsidR="006825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99.6pt">
            <v:imagedata r:id="rId4" r:href="rId5"/>
          </v:shape>
        </w:pict>
      </w:r>
      <w:r w:rsidR="00B1073B">
        <w:fldChar w:fldCharType="end"/>
      </w:r>
      <w:r>
        <w:fldChar w:fldCharType="end"/>
      </w:r>
      <w:r>
        <w:fldChar w:fldCharType="end"/>
      </w:r>
      <w:r>
        <w:fldChar w:fldCharType="end"/>
      </w:r>
      <w:r>
        <w:fldChar w:fldCharType="end"/>
      </w:r>
      <w:r>
        <w:fldChar w:fldCharType="end"/>
      </w:r>
    </w:p>
    <w:p w:rsidR="00C6632E" w:rsidRDefault="009B073F" w:rsidP="00A107D0">
      <w:pPr>
        <w:spacing w:after="0"/>
        <w:ind w:left="-567" w:right="-709"/>
        <w:jc w:val="center"/>
        <w:rPr>
          <w:rFonts w:ascii="Arial" w:hAnsi="Arial" w:cs="Arial"/>
          <w:b/>
          <w:color w:val="000000"/>
          <w:sz w:val="36"/>
          <w:szCs w:val="36"/>
        </w:rPr>
      </w:pPr>
      <w:r w:rsidRPr="00C6632E">
        <w:rPr>
          <w:rFonts w:ascii="Arial" w:hAnsi="Arial" w:cs="Arial"/>
          <w:b/>
          <w:color w:val="000000"/>
          <w:sz w:val="36"/>
          <w:szCs w:val="36"/>
        </w:rPr>
        <w:t xml:space="preserve">La soutenance de la Thèse d’Exercice </w:t>
      </w:r>
    </w:p>
    <w:p w:rsidR="00FE3524" w:rsidRPr="00C6632E" w:rsidRDefault="009B073F" w:rsidP="00A107D0">
      <w:pPr>
        <w:spacing w:after="0"/>
        <w:ind w:left="-567" w:right="-709"/>
        <w:jc w:val="center"/>
        <w:rPr>
          <w:rFonts w:ascii="Arial" w:hAnsi="Arial" w:cs="Arial"/>
          <w:b/>
          <w:color w:val="000000"/>
          <w:sz w:val="36"/>
          <w:szCs w:val="36"/>
        </w:rPr>
      </w:pPr>
      <w:proofErr w:type="gramStart"/>
      <w:r w:rsidRPr="00C6632E">
        <w:rPr>
          <w:rFonts w:ascii="Arial" w:hAnsi="Arial" w:cs="Arial"/>
          <w:b/>
          <w:color w:val="000000"/>
          <w:sz w:val="36"/>
          <w:szCs w:val="36"/>
        </w:rPr>
        <w:t>pour</w:t>
      </w:r>
      <w:proofErr w:type="gramEnd"/>
      <w:r w:rsidRPr="00C6632E">
        <w:rPr>
          <w:rFonts w:ascii="Arial" w:hAnsi="Arial" w:cs="Arial"/>
          <w:b/>
          <w:color w:val="000000"/>
          <w:sz w:val="36"/>
          <w:szCs w:val="36"/>
        </w:rPr>
        <w:t xml:space="preserve"> les internes en Biologie Médicale </w:t>
      </w:r>
    </w:p>
    <w:p w:rsidR="009B073F" w:rsidRPr="00C6632E" w:rsidRDefault="009B073F" w:rsidP="00A107D0">
      <w:pPr>
        <w:spacing w:after="0"/>
        <w:ind w:left="-567" w:right="-709"/>
        <w:jc w:val="center"/>
        <w:rPr>
          <w:rFonts w:ascii="Arial" w:hAnsi="Arial" w:cs="Arial"/>
          <w:b/>
          <w:color w:val="000000"/>
          <w:sz w:val="24"/>
          <w:szCs w:val="24"/>
        </w:rPr>
      </w:pPr>
      <w:r w:rsidRPr="00C6632E">
        <w:rPr>
          <w:rFonts w:ascii="Arial" w:hAnsi="Arial" w:cs="Arial"/>
          <w:b/>
          <w:color w:val="000000"/>
          <w:sz w:val="24"/>
          <w:szCs w:val="24"/>
        </w:rPr>
        <w:t>(1</w:t>
      </w:r>
      <w:r w:rsidRPr="00C6632E">
        <w:rPr>
          <w:rFonts w:ascii="Arial" w:hAnsi="Arial" w:cs="Arial"/>
          <w:b/>
          <w:color w:val="000000"/>
          <w:sz w:val="24"/>
          <w:szCs w:val="24"/>
          <w:vertAlign w:val="superscript"/>
        </w:rPr>
        <w:t>ère</w:t>
      </w:r>
      <w:r w:rsidRPr="00C6632E">
        <w:rPr>
          <w:rFonts w:ascii="Arial" w:hAnsi="Arial" w:cs="Arial"/>
          <w:b/>
          <w:color w:val="000000"/>
          <w:sz w:val="24"/>
          <w:szCs w:val="24"/>
        </w:rPr>
        <w:t xml:space="preserve"> inscription en DES Biologie Médicale à partir de 2017/2018)</w:t>
      </w:r>
    </w:p>
    <w:p w:rsidR="009B073F" w:rsidRPr="00DC2D9E" w:rsidRDefault="00FE3524" w:rsidP="00A107D0">
      <w:pPr>
        <w:spacing w:after="0"/>
        <w:ind w:left="-567" w:right="-709"/>
        <w:jc w:val="center"/>
        <w:rPr>
          <w:rFonts w:ascii="Arial" w:hAnsi="Arial" w:cs="Arial"/>
          <w:color w:val="000000"/>
          <w:sz w:val="20"/>
          <w:szCs w:val="20"/>
        </w:rPr>
      </w:pPr>
      <w:r w:rsidRPr="00DC2D9E">
        <w:rPr>
          <w:rFonts w:ascii="Arial" w:hAnsi="Arial" w:cs="Arial"/>
          <w:color w:val="000000"/>
          <w:sz w:val="20"/>
          <w:szCs w:val="20"/>
        </w:rPr>
        <w:t xml:space="preserve">A soutenir impérativement </w:t>
      </w:r>
      <w:r w:rsidRPr="00DC2D9E">
        <w:rPr>
          <w:rFonts w:ascii="Arial" w:hAnsi="Arial" w:cs="Arial"/>
          <w:b/>
          <w:color w:val="000000"/>
          <w:sz w:val="20"/>
          <w:szCs w:val="20"/>
        </w:rPr>
        <w:t>avant la fin de la phase d’</w:t>
      </w:r>
      <w:proofErr w:type="spellStart"/>
      <w:r w:rsidRPr="00DC2D9E">
        <w:rPr>
          <w:rFonts w:ascii="Arial" w:hAnsi="Arial" w:cs="Arial"/>
          <w:b/>
          <w:color w:val="000000"/>
          <w:sz w:val="20"/>
          <w:szCs w:val="20"/>
        </w:rPr>
        <w:t>approndissement</w:t>
      </w:r>
      <w:proofErr w:type="spellEnd"/>
      <w:r w:rsidRPr="00DC2D9E">
        <w:rPr>
          <w:rFonts w:ascii="Arial" w:hAnsi="Arial" w:cs="Arial"/>
          <w:color w:val="000000"/>
          <w:sz w:val="20"/>
          <w:szCs w:val="20"/>
        </w:rPr>
        <w:t xml:space="preserve"> (3</w:t>
      </w:r>
      <w:r w:rsidRPr="00DC2D9E">
        <w:rPr>
          <w:rFonts w:ascii="Arial" w:hAnsi="Arial" w:cs="Arial"/>
          <w:color w:val="000000"/>
          <w:sz w:val="20"/>
          <w:szCs w:val="20"/>
          <w:vertAlign w:val="superscript"/>
        </w:rPr>
        <w:t>ème</w:t>
      </w:r>
      <w:r w:rsidRPr="00DC2D9E">
        <w:rPr>
          <w:rFonts w:ascii="Arial" w:hAnsi="Arial" w:cs="Arial"/>
          <w:color w:val="000000"/>
          <w:sz w:val="20"/>
          <w:szCs w:val="20"/>
        </w:rPr>
        <w:t xml:space="preserve"> Année d’Internat)</w:t>
      </w:r>
    </w:p>
    <w:p w:rsidR="00C6632E" w:rsidRDefault="009B073F" w:rsidP="00A107D0">
      <w:pPr>
        <w:spacing w:after="0"/>
        <w:ind w:left="-567" w:right="-709"/>
        <w:jc w:val="center"/>
        <w:rPr>
          <w:rFonts w:ascii="Arial" w:hAnsi="Arial" w:cs="Arial"/>
          <w:b/>
          <w:color w:val="0070C0"/>
          <w:sz w:val="28"/>
          <w:szCs w:val="28"/>
        </w:rPr>
      </w:pPr>
      <w:r w:rsidRPr="00C6632E">
        <w:rPr>
          <w:rFonts w:ascii="Arial" w:hAnsi="Arial" w:cs="Arial"/>
          <w:b/>
          <w:color w:val="0070C0"/>
          <w:sz w:val="28"/>
          <w:szCs w:val="28"/>
        </w:rPr>
        <w:t xml:space="preserve">Arrêté du 12 Avril 2017 </w:t>
      </w:r>
    </w:p>
    <w:p w:rsidR="009B073F" w:rsidRPr="00C6632E" w:rsidRDefault="009B073F" w:rsidP="00A107D0">
      <w:pPr>
        <w:spacing w:after="0"/>
        <w:ind w:left="-567" w:right="-709"/>
        <w:jc w:val="center"/>
        <w:rPr>
          <w:rFonts w:ascii="Arial" w:hAnsi="Arial" w:cs="Arial"/>
          <w:b/>
          <w:color w:val="0070C0"/>
          <w:sz w:val="28"/>
          <w:szCs w:val="28"/>
        </w:rPr>
      </w:pPr>
      <w:proofErr w:type="gramStart"/>
      <w:r w:rsidRPr="00C6632E">
        <w:rPr>
          <w:rFonts w:ascii="Arial" w:hAnsi="Arial" w:cs="Arial"/>
          <w:b/>
          <w:color w:val="0070C0"/>
          <w:sz w:val="28"/>
          <w:szCs w:val="28"/>
        </w:rPr>
        <w:t>relatif</w:t>
      </w:r>
      <w:proofErr w:type="gramEnd"/>
      <w:r w:rsidRPr="00C6632E">
        <w:rPr>
          <w:rFonts w:ascii="Arial" w:hAnsi="Arial" w:cs="Arial"/>
          <w:b/>
          <w:color w:val="0070C0"/>
          <w:sz w:val="28"/>
          <w:szCs w:val="28"/>
        </w:rPr>
        <w:t xml:space="preserve"> à l’organisation du 3</w:t>
      </w:r>
      <w:r w:rsidRPr="00C6632E">
        <w:rPr>
          <w:rFonts w:ascii="Arial" w:hAnsi="Arial" w:cs="Arial"/>
          <w:b/>
          <w:color w:val="0070C0"/>
          <w:sz w:val="28"/>
          <w:szCs w:val="28"/>
          <w:vertAlign w:val="superscript"/>
        </w:rPr>
        <w:t>ème</w:t>
      </w:r>
      <w:r w:rsidRPr="00C6632E">
        <w:rPr>
          <w:rFonts w:ascii="Arial" w:hAnsi="Arial" w:cs="Arial"/>
          <w:b/>
          <w:color w:val="0070C0"/>
          <w:sz w:val="28"/>
          <w:szCs w:val="28"/>
        </w:rPr>
        <w:t xml:space="preserve"> cycle des études de Médecine – Article 60</w:t>
      </w:r>
    </w:p>
    <w:p w:rsidR="009B073F" w:rsidRDefault="009B073F">
      <w:pPr>
        <w:ind w:left="-567" w:right="-709"/>
        <w:rPr>
          <w:rFonts w:ascii="Arial" w:hAnsi="Arial" w:cs="Arial"/>
          <w:color w:val="000000"/>
          <w:sz w:val="19"/>
          <w:szCs w:val="19"/>
        </w:rPr>
      </w:pPr>
    </w:p>
    <w:p w:rsidR="009B073F" w:rsidRDefault="009B073F">
      <w:pPr>
        <w:ind w:left="-567" w:right="-709"/>
        <w:rPr>
          <w:rFonts w:ascii="Arial" w:hAnsi="Arial" w:cs="Arial"/>
          <w:color w:val="000000"/>
          <w:sz w:val="19"/>
          <w:szCs w:val="19"/>
        </w:rPr>
      </w:pPr>
      <w:r>
        <w:rPr>
          <w:rFonts w:ascii="Arial" w:hAnsi="Arial" w:cs="Arial"/>
          <w:color w:val="000000"/>
          <w:sz w:val="19"/>
          <w:szCs w:val="19"/>
        </w:rPr>
        <w:t xml:space="preserve">La thèse est un travail de recherche ou un ensemble de travaux approfondis qui relèvent de la pratique de la spécialité préparée. Elle est rédigée par l'étudiant et peut porter sur un thème spécifique de recherche clinique ou fondamentale. </w:t>
      </w:r>
    </w:p>
    <w:p w:rsidR="00DC2D9E" w:rsidRDefault="009B073F" w:rsidP="00A107D0">
      <w:pPr>
        <w:spacing w:after="0"/>
        <w:ind w:left="-567" w:right="-709"/>
        <w:rPr>
          <w:rFonts w:ascii="Arial" w:hAnsi="Arial" w:cs="Arial"/>
          <w:b/>
          <w:color w:val="000000"/>
          <w:sz w:val="19"/>
          <w:szCs w:val="19"/>
        </w:rPr>
      </w:pPr>
      <w:r w:rsidRPr="00DC2D9E">
        <w:rPr>
          <w:rFonts w:ascii="Arial" w:hAnsi="Arial" w:cs="Arial"/>
          <w:b/>
          <w:color w:val="000000"/>
          <w:sz w:val="19"/>
          <w:szCs w:val="19"/>
        </w:rPr>
        <w:t>Le sujet de thèse est préalablement approuvé par le coordonnateur local de la spécialité dont relève l'étudiant</w:t>
      </w:r>
      <w:r w:rsidR="00DC2D9E">
        <w:rPr>
          <w:rFonts w:ascii="Arial" w:hAnsi="Arial" w:cs="Arial"/>
          <w:b/>
          <w:color w:val="000000"/>
          <w:sz w:val="19"/>
          <w:szCs w:val="19"/>
        </w:rPr>
        <w:t>.</w:t>
      </w:r>
    </w:p>
    <w:p w:rsidR="009B073F" w:rsidRPr="00DC2D9E" w:rsidRDefault="00DC2D9E" w:rsidP="00A107D0">
      <w:pPr>
        <w:spacing w:after="0"/>
        <w:ind w:left="-567" w:right="-709"/>
        <w:rPr>
          <w:rFonts w:ascii="Arial" w:hAnsi="Arial" w:cs="Arial"/>
          <w:color w:val="000000"/>
          <w:sz w:val="19"/>
          <w:szCs w:val="19"/>
        </w:rPr>
      </w:pPr>
      <w:r w:rsidRPr="00DC2D9E">
        <w:rPr>
          <w:rFonts w:ascii="Arial" w:hAnsi="Arial" w:cs="Arial"/>
          <w:color w:val="000000"/>
          <w:sz w:val="19"/>
          <w:szCs w:val="19"/>
        </w:rPr>
        <w:t>I</w:t>
      </w:r>
      <w:r w:rsidR="009B073F" w:rsidRPr="00DC2D9E">
        <w:rPr>
          <w:rFonts w:ascii="Arial" w:hAnsi="Arial" w:cs="Arial"/>
          <w:color w:val="000000"/>
          <w:sz w:val="19"/>
          <w:szCs w:val="19"/>
        </w:rPr>
        <w:t>l est mentionné au contrat de formation.</w:t>
      </w:r>
    </w:p>
    <w:p w:rsidR="00A107D0" w:rsidRDefault="009B073F">
      <w:pPr>
        <w:ind w:left="-567" w:right="-709"/>
        <w:rPr>
          <w:rFonts w:ascii="Arial" w:hAnsi="Arial" w:cs="Arial"/>
          <w:color w:val="000000"/>
          <w:sz w:val="19"/>
          <w:szCs w:val="19"/>
        </w:rPr>
      </w:pPr>
      <w:r w:rsidRPr="00DC2D9E">
        <w:rPr>
          <w:rFonts w:ascii="Arial" w:hAnsi="Arial" w:cs="Arial"/>
          <w:b/>
          <w:color w:val="000000"/>
          <w:sz w:val="19"/>
          <w:szCs w:val="19"/>
        </w:rPr>
        <w:t xml:space="preserve">L'étudiant choisit son sujet au plus tard avant la fin du deuxième semestre validé de la phase 2. </w:t>
      </w:r>
      <w:r w:rsidRPr="00DC2D9E">
        <w:rPr>
          <w:rFonts w:ascii="Arial" w:hAnsi="Arial" w:cs="Arial"/>
          <w:b/>
          <w:color w:val="000000"/>
          <w:sz w:val="19"/>
          <w:szCs w:val="19"/>
        </w:rPr>
        <w:br/>
      </w:r>
    </w:p>
    <w:p w:rsidR="009B073F" w:rsidRDefault="009B073F">
      <w:pPr>
        <w:ind w:left="-567" w:right="-709"/>
        <w:rPr>
          <w:rFonts w:ascii="Arial" w:hAnsi="Arial" w:cs="Arial"/>
          <w:color w:val="000000"/>
          <w:sz w:val="19"/>
          <w:szCs w:val="19"/>
        </w:rPr>
      </w:pPr>
      <w:r>
        <w:rPr>
          <w:rFonts w:ascii="Arial" w:hAnsi="Arial" w:cs="Arial"/>
          <w:color w:val="000000"/>
          <w:sz w:val="19"/>
          <w:szCs w:val="19"/>
        </w:rPr>
        <w:t xml:space="preserve">Pour les étudiants de troisième cycle des études de pharmacie affectés dans la spécialité </w:t>
      </w:r>
      <w:r>
        <w:rPr>
          <w:rStyle w:val="surlignage"/>
          <w:rFonts w:ascii="Arial" w:hAnsi="Arial" w:cs="Arial"/>
          <w:b/>
          <w:bCs/>
          <w:color w:val="000000"/>
          <w:sz w:val="19"/>
          <w:szCs w:val="19"/>
          <w:shd w:val="clear" w:color="auto" w:fill="FFFF00"/>
        </w:rPr>
        <w:t>biologie</w:t>
      </w:r>
      <w:r>
        <w:rPr>
          <w:rFonts w:ascii="Arial" w:hAnsi="Arial" w:cs="Arial"/>
          <w:color w:val="000000"/>
          <w:sz w:val="19"/>
          <w:szCs w:val="19"/>
        </w:rPr>
        <w:t xml:space="preserve"> </w:t>
      </w:r>
      <w:r>
        <w:rPr>
          <w:rStyle w:val="surlignage"/>
          <w:rFonts w:ascii="Arial" w:hAnsi="Arial" w:cs="Arial"/>
          <w:b/>
          <w:bCs/>
          <w:color w:val="000000"/>
          <w:sz w:val="19"/>
          <w:szCs w:val="19"/>
          <w:shd w:val="clear" w:color="auto" w:fill="FFFF00"/>
        </w:rPr>
        <w:t>médicale</w:t>
      </w:r>
      <w:r>
        <w:rPr>
          <w:rFonts w:ascii="Arial" w:hAnsi="Arial" w:cs="Arial"/>
          <w:color w:val="000000"/>
          <w:sz w:val="19"/>
          <w:szCs w:val="19"/>
        </w:rPr>
        <w:t xml:space="preserve">, la thèse est soutenue </w:t>
      </w:r>
      <w:r w:rsidRPr="00A107D0">
        <w:rPr>
          <w:rFonts w:ascii="Arial" w:hAnsi="Arial" w:cs="Arial"/>
          <w:b/>
          <w:color w:val="000000"/>
          <w:sz w:val="19"/>
          <w:szCs w:val="19"/>
        </w:rPr>
        <w:t>devant un jury présidé par un professeur des universités titulaire des disciplines pharmaceutiques</w:t>
      </w:r>
      <w:r>
        <w:rPr>
          <w:rFonts w:ascii="Arial" w:hAnsi="Arial" w:cs="Arial"/>
          <w:color w:val="000000"/>
          <w:sz w:val="19"/>
          <w:szCs w:val="19"/>
        </w:rPr>
        <w:t xml:space="preserve">. </w:t>
      </w:r>
    </w:p>
    <w:p w:rsidR="009C7936" w:rsidRDefault="009B073F">
      <w:pPr>
        <w:ind w:left="-567" w:right="-709"/>
        <w:rPr>
          <w:rFonts w:ascii="Arial" w:hAnsi="Arial" w:cs="Arial"/>
          <w:color w:val="000000"/>
          <w:sz w:val="19"/>
          <w:szCs w:val="19"/>
        </w:rPr>
      </w:pPr>
      <w:r w:rsidRPr="00A107D0">
        <w:rPr>
          <w:rFonts w:ascii="Arial" w:hAnsi="Arial" w:cs="Arial"/>
          <w:color w:val="000000"/>
          <w:sz w:val="19"/>
          <w:szCs w:val="19"/>
        </w:rPr>
        <w:t xml:space="preserve">Le jury de thèse est composé d'au moins quatre membres dont au moins deux membres représentant les spécialités </w:t>
      </w:r>
      <w:r w:rsidRPr="00A107D0">
        <w:rPr>
          <w:rStyle w:val="surlignage"/>
          <w:rFonts w:ascii="Arial" w:hAnsi="Arial" w:cs="Arial"/>
          <w:bCs/>
          <w:color w:val="000000"/>
          <w:sz w:val="19"/>
          <w:szCs w:val="19"/>
          <w:shd w:val="clear" w:color="auto" w:fill="FFFF00"/>
        </w:rPr>
        <w:t>médicale</w:t>
      </w:r>
      <w:r w:rsidRPr="00A107D0">
        <w:rPr>
          <w:rFonts w:ascii="Arial" w:hAnsi="Arial" w:cs="Arial"/>
          <w:color w:val="000000"/>
          <w:sz w:val="19"/>
          <w:szCs w:val="19"/>
        </w:rPr>
        <w:t>s et pharmaceutiques désignés par le président de l'université sur proposition du ou des directeurs d'unité de formation et de recherche concernés</w:t>
      </w:r>
      <w:r>
        <w:rPr>
          <w:rFonts w:ascii="Arial" w:hAnsi="Arial" w:cs="Arial"/>
          <w:color w:val="000000"/>
          <w:sz w:val="19"/>
          <w:szCs w:val="19"/>
        </w:rPr>
        <w:t xml:space="preserve">. Un praticien des armées peut faire partie d'un jury de thèse. Lorsque ce praticien est professeur agrégé du Val-de-Grâce, il peut siéger comme membre-enseignant, voire présider le jury. </w:t>
      </w:r>
      <w:r>
        <w:rPr>
          <w:rFonts w:ascii="Arial" w:hAnsi="Arial" w:cs="Arial"/>
          <w:color w:val="000000"/>
          <w:sz w:val="19"/>
          <w:szCs w:val="19"/>
        </w:rPr>
        <w:br/>
      </w:r>
    </w:p>
    <w:p w:rsidR="009B073F" w:rsidRPr="00DC2D9E" w:rsidRDefault="00C6632E">
      <w:pPr>
        <w:ind w:left="-567" w:right="-709"/>
        <w:rPr>
          <w:rFonts w:ascii="Arial" w:hAnsi="Arial" w:cs="Arial"/>
          <w:b/>
          <w:color w:val="000000"/>
          <w:sz w:val="19"/>
          <w:szCs w:val="19"/>
        </w:rPr>
      </w:pPr>
      <w:r w:rsidRPr="00A107D0">
        <w:rPr>
          <w:rFonts w:ascii="Arial" w:hAnsi="Arial" w:cs="Arial"/>
          <w:b/>
          <w:color w:val="000000"/>
          <w:sz w:val="19"/>
          <w:szCs w:val="19"/>
          <w:highlight w:val="yellow"/>
        </w:rPr>
        <w:t>15 jours avant la soutenance : Remettre au Service Scolarité – D.E.S.</w:t>
      </w:r>
      <w:r w:rsidRPr="00DC2D9E">
        <w:rPr>
          <w:rFonts w:ascii="Arial" w:hAnsi="Arial" w:cs="Arial"/>
          <w:b/>
          <w:color w:val="000000"/>
          <w:sz w:val="19"/>
          <w:szCs w:val="19"/>
        </w:rPr>
        <w:t xml:space="preserve"> </w:t>
      </w:r>
      <w:r w:rsidR="00A107D0">
        <w:rPr>
          <w:rFonts w:ascii="Arial" w:hAnsi="Arial" w:cs="Arial"/>
          <w:b/>
          <w:color w:val="000000"/>
          <w:sz w:val="19"/>
          <w:szCs w:val="19"/>
        </w:rPr>
        <w:t>(par envoi postal ou au Service Scolarité)</w:t>
      </w:r>
    </w:p>
    <w:p w:rsidR="00DC2D9E" w:rsidRDefault="00DC2D9E">
      <w:pPr>
        <w:ind w:left="-567" w:right="-709"/>
        <w:rPr>
          <w:rFonts w:ascii="Arial" w:hAnsi="Arial" w:cs="Arial"/>
          <w:color w:val="000000"/>
          <w:sz w:val="19"/>
          <w:szCs w:val="19"/>
        </w:rPr>
      </w:pPr>
      <w:r w:rsidRPr="00DC2D9E">
        <w:rPr>
          <w:rFonts w:ascii="Arial" w:hAnsi="Arial" w:cs="Arial"/>
          <w:b/>
          <w:color w:val="000000"/>
          <w:sz w:val="19"/>
          <w:szCs w:val="19"/>
        </w:rPr>
        <w:t>1/</w:t>
      </w:r>
      <w:r>
        <w:rPr>
          <w:rFonts w:ascii="Arial" w:hAnsi="Arial" w:cs="Arial"/>
          <w:color w:val="000000"/>
          <w:sz w:val="19"/>
          <w:szCs w:val="19"/>
        </w:rPr>
        <w:t xml:space="preserve"> </w:t>
      </w:r>
      <w:r w:rsidR="009B073F">
        <w:rPr>
          <w:rFonts w:ascii="Arial" w:hAnsi="Arial" w:cs="Arial"/>
          <w:color w:val="000000"/>
          <w:sz w:val="19"/>
          <w:szCs w:val="19"/>
        </w:rPr>
        <w:t>Formulaire autorisation de soutenance DES Biologie Médicale </w:t>
      </w:r>
      <w:r>
        <w:rPr>
          <w:rFonts w:ascii="Arial" w:hAnsi="Arial" w:cs="Arial"/>
          <w:color w:val="000000"/>
          <w:sz w:val="19"/>
          <w:szCs w:val="19"/>
        </w:rPr>
        <w:t>signé du Coordonnateur du D.E.S. Biologie Médicale et du Président de Jury</w:t>
      </w:r>
    </w:p>
    <w:p w:rsidR="00C6632E" w:rsidRDefault="00DC2D9E">
      <w:pPr>
        <w:ind w:left="-567" w:right="-709"/>
        <w:rPr>
          <w:rFonts w:ascii="Arial" w:hAnsi="Arial" w:cs="Arial"/>
          <w:color w:val="000000"/>
          <w:sz w:val="19"/>
          <w:szCs w:val="19"/>
        </w:rPr>
      </w:pPr>
      <w:r w:rsidRPr="00DC2D9E">
        <w:rPr>
          <w:rFonts w:ascii="Arial" w:hAnsi="Arial" w:cs="Arial"/>
          <w:b/>
          <w:color w:val="000000"/>
          <w:sz w:val="19"/>
          <w:szCs w:val="19"/>
        </w:rPr>
        <w:t>2/</w:t>
      </w:r>
      <w:r>
        <w:rPr>
          <w:rFonts w:ascii="Arial" w:hAnsi="Arial" w:cs="Arial"/>
          <w:color w:val="000000"/>
          <w:sz w:val="19"/>
          <w:szCs w:val="19"/>
        </w:rPr>
        <w:t xml:space="preserve"> 2 exemplaires de la Thèse conformes au règlement intérieur des Thèses</w:t>
      </w:r>
    </w:p>
    <w:p w:rsidR="00DC2D9E" w:rsidRDefault="00DC2D9E">
      <w:pPr>
        <w:ind w:left="-567" w:right="-709"/>
        <w:rPr>
          <w:rFonts w:ascii="Arial" w:hAnsi="Arial" w:cs="Arial"/>
          <w:color w:val="000000"/>
          <w:sz w:val="19"/>
          <w:szCs w:val="19"/>
        </w:rPr>
      </w:pPr>
      <w:r w:rsidRPr="00DC2D9E">
        <w:rPr>
          <w:rFonts w:ascii="Arial" w:hAnsi="Arial" w:cs="Arial"/>
          <w:b/>
          <w:color w:val="000000"/>
          <w:sz w:val="19"/>
          <w:szCs w:val="19"/>
        </w:rPr>
        <w:t>3/</w:t>
      </w:r>
      <w:r>
        <w:rPr>
          <w:rFonts w:ascii="Arial" w:hAnsi="Arial" w:cs="Arial"/>
          <w:color w:val="000000"/>
          <w:sz w:val="19"/>
          <w:szCs w:val="19"/>
        </w:rPr>
        <w:t xml:space="preserve"> Formulaire d’enregistrement </w:t>
      </w:r>
      <w:proofErr w:type="spellStart"/>
      <w:r>
        <w:rPr>
          <w:rFonts w:ascii="Arial" w:hAnsi="Arial" w:cs="Arial"/>
          <w:color w:val="000000"/>
          <w:sz w:val="19"/>
          <w:szCs w:val="19"/>
        </w:rPr>
        <w:t>Bibiliothèque</w:t>
      </w:r>
      <w:proofErr w:type="spellEnd"/>
      <w:r>
        <w:rPr>
          <w:rFonts w:ascii="Arial" w:hAnsi="Arial" w:cs="Arial"/>
          <w:color w:val="000000"/>
          <w:sz w:val="19"/>
          <w:szCs w:val="19"/>
        </w:rPr>
        <w:t xml:space="preserve"> complété soigneusement</w:t>
      </w:r>
    </w:p>
    <w:p w:rsidR="00FE3524" w:rsidRDefault="00FE3524">
      <w:pPr>
        <w:ind w:left="-567" w:right="-709"/>
        <w:rPr>
          <w:rFonts w:ascii="Arial" w:hAnsi="Arial" w:cs="Arial"/>
          <w:color w:val="000000"/>
          <w:sz w:val="19"/>
          <w:szCs w:val="19"/>
        </w:rPr>
      </w:pPr>
    </w:p>
    <w:p w:rsidR="00FE3524" w:rsidRPr="00FE3524" w:rsidRDefault="00FE3524">
      <w:pPr>
        <w:ind w:left="-567" w:right="-709"/>
        <w:rPr>
          <w:rFonts w:ascii="Arial" w:hAnsi="Arial" w:cs="Arial"/>
          <w:b/>
          <w:color w:val="0070C0"/>
          <w:sz w:val="19"/>
          <w:szCs w:val="19"/>
        </w:rPr>
      </w:pPr>
      <w:r w:rsidRPr="00FE3524">
        <w:rPr>
          <w:rFonts w:ascii="Arial" w:hAnsi="Arial" w:cs="Arial"/>
          <w:b/>
          <w:color w:val="0070C0"/>
          <w:sz w:val="19"/>
          <w:szCs w:val="19"/>
        </w:rPr>
        <w:t>Modèle pages de couverture de la thèse</w:t>
      </w:r>
    </w:p>
    <w:p w:rsidR="00FE3524" w:rsidRDefault="00FE3524">
      <w:pPr>
        <w:ind w:left="-567" w:right="-709"/>
        <w:rPr>
          <w:rFonts w:ascii="Arial" w:hAnsi="Arial" w:cs="Arial"/>
          <w:b/>
          <w:color w:val="0070C0"/>
          <w:sz w:val="19"/>
          <w:szCs w:val="19"/>
        </w:rPr>
      </w:pPr>
      <w:r w:rsidRPr="00FE3524">
        <w:rPr>
          <w:rFonts w:ascii="Arial" w:hAnsi="Arial" w:cs="Arial"/>
          <w:b/>
          <w:color w:val="0070C0"/>
          <w:sz w:val="19"/>
          <w:szCs w:val="19"/>
        </w:rPr>
        <w:t>Formulaire Attestation de soutenance Thèse d’exercice pour les internes en Biologie Médicale</w:t>
      </w:r>
    </w:p>
    <w:p w:rsidR="00DC2D9E" w:rsidRDefault="00DC2D9E">
      <w:pPr>
        <w:ind w:left="-567" w:right="-709"/>
        <w:rPr>
          <w:rFonts w:ascii="Arial" w:hAnsi="Arial" w:cs="Arial"/>
          <w:b/>
          <w:color w:val="0070C0"/>
          <w:sz w:val="19"/>
          <w:szCs w:val="19"/>
        </w:rPr>
      </w:pPr>
      <w:r>
        <w:rPr>
          <w:rFonts w:ascii="Arial" w:hAnsi="Arial" w:cs="Arial"/>
          <w:b/>
          <w:color w:val="0070C0"/>
          <w:sz w:val="19"/>
          <w:szCs w:val="19"/>
        </w:rPr>
        <w:t>Serment du Pharmacien</w:t>
      </w:r>
    </w:p>
    <w:p w:rsidR="00DC2D9E" w:rsidRDefault="00DC2D9E">
      <w:pPr>
        <w:ind w:left="-567" w:right="-709"/>
        <w:rPr>
          <w:rFonts w:ascii="Arial" w:hAnsi="Arial" w:cs="Arial"/>
          <w:b/>
          <w:color w:val="0070C0"/>
          <w:sz w:val="19"/>
          <w:szCs w:val="19"/>
        </w:rPr>
      </w:pPr>
      <w:r>
        <w:rPr>
          <w:rFonts w:ascii="Arial" w:hAnsi="Arial" w:cs="Arial"/>
          <w:b/>
          <w:color w:val="0070C0"/>
          <w:sz w:val="19"/>
          <w:szCs w:val="19"/>
        </w:rPr>
        <w:t>Règlement présentation des thèses</w:t>
      </w:r>
    </w:p>
    <w:p w:rsidR="00B0151D" w:rsidRDefault="00B0151D">
      <w:pPr>
        <w:ind w:left="-567" w:right="-709"/>
        <w:rPr>
          <w:rFonts w:ascii="Arial" w:hAnsi="Arial" w:cs="Arial"/>
          <w:b/>
          <w:color w:val="0070C0"/>
          <w:sz w:val="19"/>
          <w:szCs w:val="19"/>
        </w:rPr>
      </w:pPr>
      <w:r>
        <w:rPr>
          <w:rFonts w:ascii="Arial" w:hAnsi="Arial" w:cs="Arial"/>
          <w:b/>
          <w:color w:val="0070C0"/>
          <w:sz w:val="19"/>
          <w:szCs w:val="19"/>
        </w:rPr>
        <w:t>Guide de la thèse</w:t>
      </w:r>
    </w:p>
    <w:p w:rsidR="00DC2D9E" w:rsidRPr="00FE3524" w:rsidRDefault="00DC2D9E">
      <w:pPr>
        <w:ind w:left="-567" w:right="-709"/>
        <w:rPr>
          <w:rFonts w:ascii="Arial" w:hAnsi="Arial" w:cs="Arial"/>
          <w:b/>
          <w:color w:val="0070C0"/>
          <w:sz w:val="19"/>
          <w:szCs w:val="19"/>
        </w:rPr>
      </w:pPr>
      <w:r>
        <w:rPr>
          <w:rFonts w:ascii="Arial" w:hAnsi="Arial" w:cs="Arial"/>
          <w:b/>
          <w:color w:val="0070C0"/>
          <w:sz w:val="19"/>
          <w:szCs w:val="19"/>
        </w:rPr>
        <w:t>Formulaire enregistrement Bibliothèque</w:t>
      </w:r>
    </w:p>
    <w:p w:rsidR="00A107D0" w:rsidRDefault="00A107D0">
      <w:pPr>
        <w:ind w:left="-567" w:right="-709"/>
        <w:rPr>
          <w:rFonts w:ascii="Arial" w:hAnsi="Arial" w:cs="Arial"/>
          <w:color w:val="000000"/>
          <w:sz w:val="19"/>
          <w:szCs w:val="19"/>
        </w:rPr>
      </w:pPr>
      <w:r>
        <w:rPr>
          <w:rFonts w:ascii="Arial" w:hAnsi="Arial" w:cs="Arial"/>
          <w:color w:val="000000"/>
          <w:sz w:val="19"/>
          <w:szCs w:val="19"/>
        </w:rPr>
        <w:t>Attention, la soutenance de la Thèse doit se dérouler dans les locaux de l’UFR Pharmacie. La réservation de la salle des Thèses ou autre salle doit se faire au minimum 3 semaines avant la soutenance auprès du Service Scolarité.</w:t>
      </w:r>
    </w:p>
    <w:p w:rsidR="00A107D0" w:rsidRDefault="00A107D0">
      <w:pPr>
        <w:ind w:left="-567" w:right="-709"/>
        <w:rPr>
          <w:rFonts w:ascii="Arial" w:hAnsi="Arial" w:cs="Arial"/>
          <w:color w:val="000000"/>
          <w:sz w:val="19"/>
          <w:szCs w:val="19"/>
        </w:rPr>
      </w:pPr>
      <w:r>
        <w:rPr>
          <w:rFonts w:ascii="Arial" w:hAnsi="Arial" w:cs="Arial"/>
          <w:color w:val="000000"/>
          <w:sz w:val="19"/>
          <w:szCs w:val="19"/>
        </w:rPr>
        <w:t xml:space="preserve">Si pour des raisons justifiées, votre soutenance doit avoir lieu à l’extérieur de la Faculté avec l’accord de votre président de jury, merci de transmettre un courrier de demande de dérogation à l’attention du Doyen à l’adresse : </w:t>
      </w:r>
      <w:hyperlink r:id="rId6" w:history="1">
        <w:r w:rsidR="00B1073B" w:rsidRPr="002A0A0C">
          <w:rPr>
            <w:rStyle w:val="Lienhypertexte"/>
            <w:rFonts w:ascii="Arial" w:hAnsi="Arial" w:cs="Arial"/>
            <w:sz w:val="19"/>
            <w:szCs w:val="19"/>
          </w:rPr>
          <w:t>snejana.djordjevic@universite-paris-saclay.fr</w:t>
        </w:r>
      </w:hyperlink>
    </w:p>
    <w:p w:rsidR="00FE3524" w:rsidRPr="00B0151D" w:rsidRDefault="00FE3524">
      <w:pPr>
        <w:ind w:left="-567" w:right="-709"/>
        <w:rPr>
          <w:b/>
        </w:rPr>
      </w:pPr>
      <w:r w:rsidRPr="00B0151D">
        <w:rPr>
          <w:rFonts w:ascii="Arial" w:hAnsi="Arial" w:cs="Arial"/>
          <w:b/>
          <w:color w:val="000000"/>
          <w:sz w:val="19"/>
          <w:szCs w:val="19"/>
        </w:rPr>
        <w:t>L’attestation de réussite au Diplôme d’Etat de Docteur en Pharmacie sera délivrée à l’interne en vue de son inscription au Conseil de l’Ordre</w:t>
      </w:r>
      <w:r w:rsidR="00B0151D">
        <w:rPr>
          <w:rFonts w:ascii="Arial" w:hAnsi="Arial" w:cs="Arial"/>
          <w:b/>
          <w:color w:val="000000"/>
          <w:sz w:val="19"/>
          <w:szCs w:val="19"/>
        </w:rPr>
        <w:t xml:space="preserve"> 2 jours ouvrables après réception de l’attestation de soutenance</w:t>
      </w:r>
      <w:r w:rsidRPr="00B0151D">
        <w:rPr>
          <w:rFonts w:ascii="Arial" w:hAnsi="Arial" w:cs="Arial"/>
          <w:b/>
          <w:color w:val="000000"/>
          <w:sz w:val="19"/>
          <w:szCs w:val="19"/>
        </w:rPr>
        <w:t>.</w:t>
      </w:r>
      <w:bookmarkStart w:id="0" w:name="_GoBack"/>
      <w:bookmarkEnd w:id="0"/>
    </w:p>
    <w:sectPr w:rsidR="00FE3524" w:rsidRPr="00B0151D" w:rsidSect="00DC2D9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3F"/>
    <w:rsid w:val="00095AEC"/>
    <w:rsid w:val="00644FE5"/>
    <w:rsid w:val="00682572"/>
    <w:rsid w:val="009B073F"/>
    <w:rsid w:val="009B4762"/>
    <w:rsid w:val="00A107D0"/>
    <w:rsid w:val="00B0151D"/>
    <w:rsid w:val="00B1073B"/>
    <w:rsid w:val="00C6632E"/>
    <w:rsid w:val="00DC2D9E"/>
    <w:rsid w:val="00FE3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29C1B"/>
  <w15:chartTrackingRefBased/>
  <w15:docId w15:val="{05735EB6-1BF3-437D-8DC9-71EE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73F"/>
    <w:rPr>
      <w:color w:val="0000FF"/>
      <w:u w:val="single"/>
    </w:rPr>
  </w:style>
  <w:style w:type="character" w:customStyle="1" w:styleId="surlignage">
    <w:name w:val="surlignage"/>
    <w:basedOn w:val="Policepardfaut"/>
    <w:rsid w:val="009B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ejana.djordjevic@universite-paris-saclay.fr" TargetMode="External"/><Relationship Id="rId5" Type="http://schemas.openxmlformats.org/officeDocument/2006/relationships/image" Target="https://zutil.di.u-psud.fr/signature/images/EQ9TvSlB5TtwqrDXCLQJx9B08ZK90wVRE5vM6k-cJp4KYitxnryNtYBkHBdrRJY4ijF0vg.pn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Buffat</dc:creator>
  <cp:keywords/>
  <dc:description/>
  <cp:lastModifiedBy>Patricia Buffat</cp:lastModifiedBy>
  <cp:revision>2</cp:revision>
  <dcterms:created xsi:type="dcterms:W3CDTF">2020-06-04T05:08:00Z</dcterms:created>
  <dcterms:modified xsi:type="dcterms:W3CDTF">2020-06-04T05:08:00Z</dcterms:modified>
</cp:coreProperties>
</file>