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3F" w:rsidRDefault="00C6632E">
      <w:pPr>
        <w:ind w:left="-567" w:right="-709"/>
        <w:rPr>
          <w:rFonts w:ascii="Arial" w:hAnsi="Arial" w:cs="Arial"/>
          <w:color w:val="000000"/>
          <w:sz w:val="19"/>
          <w:szCs w:val="19"/>
        </w:rPr>
      </w:pPr>
      <w:r>
        <w:fldChar w:fldCharType="begin"/>
      </w:r>
      <w:r>
        <w:instrText xml:space="preserve"> INCLUDEPICTURE "https://zutil.di.u-psud.fr/signature/images/EQ9TvSlB5TtwqrDXCLQJx9B08ZK90wVRE5vM6k-cJp4KYitxnryNtYBkHBdrRJY4ijF0vg.png" \* MERGEFORMATINET </w:instrText>
      </w:r>
      <w:r>
        <w:fldChar w:fldCharType="separate"/>
      </w:r>
      <w:r>
        <w:fldChar w:fldCharType="begin"/>
      </w:r>
      <w:r>
        <w:instrText xml:space="preserve"> INCLUDEPICTURE  "https://zutil.di.u-psud.fr/signature/images/EQ9TvSlB5TtwqrDXCLQJx9B08ZK90wVRE5vM6k-cJp4KYitxnryNtYBkHBdrRJY4ijF0vg.png" \* MERGEFORMATINET </w:instrText>
      </w:r>
      <w:r>
        <w:fldChar w:fldCharType="separate"/>
      </w:r>
      <w:r>
        <w:fldChar w:fldCharType="begin"/>
      </w:r>
      <w:r>
        <w:instrText xml:space="preserve"> INCLUDEPICTURE  "https://zutil.di.u-psud.fr/signature/images/EQ9TvSlB5TtwqrDXCLQJx9B08ZK90wVRE5vM6k-cJp4KYitxnryNtYBkHBdrRJY4ijF0vg.png" \* MERGEFORMATINET </w:instrText>
      </w:r>
      <w:r>
        <w:fldChar w:fldCharType="separate"/>
      </w:r>
      <w:r>
        <w:fldChar w:fldCharType="begin"/>
      </w:r>
      <w:r>
        <w:instrText xml:space="preserve"> INCLUDEPICTURE  "https://zutil.di.u-psud.fr/signature/images/EQ9TvSlB5TtwqrDXCLQJx9B08ZK90wVRE5vM6k-cJp4KYitxnryNtYBkHBdrRJY4ijF0vg.png" \* MERGEFORMATINET </w:instrText>
      </w:r>
      <w:r>
        <w:fldChar w:fldCharType="separate"/>
      </w:r>
      <w:r>
        <w:fldChar w:fldCharType="begin"/>
      </w:r>
      <w:r>
        <w:instrText xml:space="preserve"> INCLUDEPICTURE  "https://zutil.di.u-psud.fr/signature/images/EQ9TvSlB5TtwqrDXCLQJx9B08ZK90wVRE5vM6k-cJp4KYitxnryNtYBkHBdrRJY4ijF0vg.png" \* MERGEFORMATINET </w:instrText>
      </w:r>
      <w:r>
        <w:fldChar w:fldCharType="separate"/>
      </w:r>
      <w:r w:rsidR="00B1073B">
        <w:fldChar w:fldCharType="begin"/>
      </w:r>
      <w:r w:rsidR="00B1073B">
        <w:instrText xml:space="preserve"> INCLUDEPICTURE  "https://zutil.di.u-psud.fr/signature/images/EQ9TvSlB5TtwqrDXCLQJx9B08ZK90wVRE5vM6k-cJp4KYitxnryNtYBkHBdrRJY4ijF0vg.png" \* MERGEFORMATINET </w:instrText>
      </w:r>
      <w:r w:rsidR="00B1073B">
        <w:fldChar w:fldCharType="separate"/>
      </w:r>
      <w:r w:rsidR="004920C1">
        <w:fldChar w:fldCharType="begin"/>
      </w:r>
      <w:r w:rsidR="004920C1">
        <w:instrText xml:space="preserve"> INCLUDEPICTURE  "https://zutil.di.u-psud.fr/signature/images/EQ9TvSlB5TtwqrDXCLQJx9B08ZK90wVRE5vM6k-cJp4KYitxnryNtYBkHBdrRJY4ijF0vg.png" \* MERGEFORMATINET </w:instrText>
      </w:r>
      <w:r w:rsidR="004920C1">
        <w:fldChar w:fldCharType="separate"/>
      </w:r>
      <w:r w:rsidR="006F16C2">
        <w:fldChar w:fldCharType="begin"/>
      </w:r>
      <w:r w:rsidR="006F16C2">
        <w:instrText xml:space="preserve"> INCLUDEPICTURE  "https://zutil.di.u-psud.fr/signature/images/EQ9TvSlB5TtwqrDXCLQJx9B08ZK90wVRE5vM6k-cJp4KYitxnryNtYBkHBdrRJY4ijF0vg.png" \* MERGEFORMATINET </w:instrText>
      </w:r>
      <w:r w:rsidR="006F16C2">
        <w:fldChar w:fldCharType="separate"/>
      </w:r>
      <w:r w:rsidR="00EA44F6">
        <w:fldChar w:fldCharType="begin"/>
      </w:r>
      <w:r w:rsidR="00EA44F6">
        <w:instrText xml:space="preserve"> </w:instrText>
      </w:r>
      <w:r w:rsidR="00EA44F6">
        <w:instrText>INCLUDEPICTURE  "https://zutil.di.u-psud.fr/signature/images/EQ9TvSlB5TtwqrDXCLQJx9B08ZK90wVRE5vM6k-cJp4KYitxnryNtYBkHBdrRJY4ijF0vg.png" \* MERGEFORMATINET</w:instrText>
      </w:r>
      <w:r w:rsidR="00EA44F6">
        <w:instrText xml:space="preserve"> </w:instrText>
      </w:r>
      <w:r w:rsidR="00EA44F6">
        <w:fldChar w:fldCharType="separate"/>
      </w:r>
      <w:r w:rsidR="00EA44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99.75pt">
            <v:imagedata r:id="rId4" r:href="rId5"/>
          </v:shape>
        </w:pict>
      </w:r>
      <w:r w:rsidR="00EA44F6">
        <w:fldChar w:fldCharType="end"/>
      </w:r>
      <w:r w:rsidR="006F16C2">
        <w:fldChar w:fldCharType="end"/>
      </w:r>
      <w:r w:rsidR="004920C1">
        <w:fldChar w:fldCharType="end"/>
      </w:r>
      <w:r w:rsidR="00B1073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6632E" w:rsidRDefault="009B073F" w:rsidP="00A107D0">
      <w:pPr>
        <w:spacing w:after="0"/>
        <w:ind w:left="-567" w:right="-70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6632E">
        <w:rPr>
          <w:rFonts w:ascii="Arial" w:hAnsi="Arial" w:cs="Arial"/>
          <w:b/>
          <w:color w:val="000000"/>
          <w:sz w:val="36"/>
          <w:szCs w:val="36"/>
        </w:rPr>
        <w:t xml:space="preserve">La soutenance de la Thèse d’Exercice </w:t>
      </w:r>
    </w:p>
    <w:p w:rsidR="00FE3524" w:rsidRPr="00C6632E" w:rsidRDefault="009B073F" w:rsidP="00A107D0">
      <w:pPr>
        <w:spacing w:after="0"/>
        <w:ind w:left="-567" w:right="-709"/>
        <w:jc w:val="center"/>
        <w:rPr>
          <w:rFonts w:ascii="Arial" w:hAnsi="Arial" w:cs="Arial"/>
          <w:b/>
          <w:color w:val="000000"/>
          <w:sz w:val="36"/>
          <w:szCs w:val="36"/>
        </w:rPr>
      </w:pPr>
      <w:proofErr w:type="gramStart"/>
      <w:r w:rsidRPr="00C6632E">
        <w:rPr>
          <w:rFonts w:ascii="Arial" w:hAnsi="Arial" w:cs="Arial"/>
          <w:b/>
          <w:color w:val="000000"/>
          <w:sz w:val="36"/>
          <w:szCs w:val="36"/>
        </w:rPr>
        <w:t>pour</w:t>
      </w:r>
      <w:proofErr w:type="gramEnd"/>
      <w:r w:rsidRPr="00C6632E">
        <w:rPr>
          <w:rFonts w:ascii="Arial" w:hAnsi="Arial" w:cs="Arial"/>
          <w:b/>
          <w:color w:val="000000"/>
          <w:sz w:val="36"/>
          <w:szCs w:val="36"/>
        </w:rPr>
        <w:t xml:space="preserve"> les internes en </w:t>
      </w:r>
      <w:r w:rsidR="004920C1">
        <w:rPr>
          <w:rFonts w:ascii="Arial" w:hAnsi="Arial" w:cs="Arial"/>
          <w:b/>
          <w:color w:val="000000"/>
          <w:sz w:val="36"/>
          <w:szCs w:val="36"/>
        </w:rPr>
        <w:t>Pharmacie Hospitalière</w:t>
      </w:r>
      <w:r w:rsidRPr="00C6632E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:rsidR="009B073F" w:rsidRPr="00C6632E" w:rsidRDefault="009B073F" w:rsidP="00A107D0">
      <w:pPr>
        <w:spacing w:after="0"/>
        <w:ind w:left="-567" w:right="-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632E">
        <w:rPr>
          <w:rFonts w:ascii="Arial" w:hAnsi="Arial" w:cs="Arial"/>
          <w:b/>
          <w:color w:val="000000"/>
          <w:sz w:val="24"/>
          <w:szCs w:val="24"/>
        </w:rPr>
        <w:t>(1</w:t>
      </w:r>
      <w:r w:rsidRPr="00C6632E">
        <w:rPr>
          <w:rFonts w:ascii="Arial" w:hAnsi="Arial" w:cs="Arial"/>
          <w:b/>
          <w:color w:val="000000"/>
          <w:sz w:val="24"/>
          <w:szCs w:val="24"/>
          <w:vertAlign w:val="superscript"/>
        </w:rPr>
        <w:t>ère</w:t>
      </w:r>
      <w:r w:rsidRPr="00C6632E">
        <w:rPr>
          <w:rFonts w:ascii="Arial" w:hAnsi="Arial" w:cs="Arial"/>
          <w:b/>
          <w:color w:val="000000"/>
          <w:sz w:val="24"/>
          <w:szCs w:val="24"/>
        </w:rPr>
        <w:t xml:space="preserve"> inscription en DES </w:t>
      </w:r>
      <w:r w:rsidR="004920C1">
        <w:rPr>
          <w:rFonts w:ascii="Arial" w:hAnsi="Arial" w:cs="Arial"/>
          <w:b/>
          <w:color w:val="000000"/>
          <w:sz w:val="24"/>
          <w:szCs w:val="24"/>
        </w:rPr>
        <w:t>Pharmacie Hospitalière</w:t>
      </w:r>
      <w:r w:rsidRPr="00C6632E">
        <w:rPr>
          <w:rFonts w:ascii="Arial" w:hAnsi="Arial" w:cs="Arial"/>
          <w:b/>
          <w:color w:val="000000"/>
          <w:sz w:val="24"/>
          <w:szCs w:val="24"/>
        </w:rPr>
        <w:t xml:space="preserve"> à partir de </w:t>
      </w:r>
      <w:r w:rsidR="004920C1">
        <w:rPr>
          <w:rFonts w:ascii="Arial" w:hAnsi="Arial" w:cs="Arial"/>
          <w:b/>
          <w:color w:val="000000"/>
          <w:sz w:val="24"/>
          <w:szCs w:val="24"/>
        </w:rPr>
        <w:t>2019/2020</w:t>
      </w:r>
      <w:r w:rsidRPr="00C6632E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9B073F" w:rsidRPr="00DC2D9E" w:rsidRDefault="00FE3524" w:rsidP="00A107D0">
      <w:pPr>
        <w:spacing w:after="0"/>
        <w:ind w:left="-567" w:right="-709"/>
        <w:jc w:val="center"/>
        <w:rPr>
          <w:rFonts w:ascii="Arial" w:hAnsi="Arial" w:cs="Arial"/>
          <w:color w:val="000000"/>
          <w:sz w:val="20"/>
          <w:szCs w:val="20"/>
        </w:rPr>
      </w:pPr>
      <w:r w:rsidRPr="00DC2D9E">
        <w:rPr>
          <w:rFonts w:ascii="Arial" w:hAnsi="Arial" w:cs="Arial"/>
          <w:color w:val="000000"/>
          <w:sz w:val="20"/>
          <w:szCs w:val="20"/>
        </w:rPr>
        <w:t xml:space="preserve">A soutenir impérativement </w:t>
      </w:r>
      <w:r w:rsidRPr="00DC2D9E">
        <w:rPr>
          <w:rFonts w:ascii="Arial" w:hAnsi="Arial" w:cs="Arial"/>
          <w:b/>
          <w:color w:val="000000"/>
          <w:sz w:val="20"/>
          <w:szCs w:val="20"/>
        </w:rPr>
        <w:t>a</w:t>
      </w:r>
      <w:r w:rsidR="004920C1">
        <w:rPr>
          <w:rFonts w:ascii="Arial" w:hAnsi="Arial" w:cs="Arial"/>
          <w:b/>
          <w:color w:val="000000"/>
          <w:sz w:val="20"/>
          <w:szCs w:val="20"/>
        </w:rPr>
        <w:t>vant la fin de la phase d’approfon</w:t>
      </w:r>
      <w:r w:rsidRPr="00DC2D9E">
        <w:rPr>
          <w:rFonts w:ascii="Arial" w:hAnsi="Arial" w:cs="Arial"/>
          <w:b/>
          <w:color w:val="000000"/>
          <w:sz w:val="20"/>
          <w:szCs w:val="20"/>
        </w:rPr>
        <w:t>dissement</w:t>
      </w:r>
      <w:r w:rsidRPr="00DC2D9E">
        <w:rPr>
          <w:rFonts w:ascii="Arial" w:hAnsi="Arial" w:cs="Arial"/>
          <w:color w:val="000000"/>
          <w:sz w:val="20"/>
          <w:szCs w:val="20"/>
        </w:rPr>
        <w:t xml:space="preserve"> (3</w:t>
      </w:r>
      <w:r w:rsidRPr="00DC2D9E">
        <w:rPr>
          <w:rFonts w:ascii="Arial" w:hAnsi="Arial" w:cs="Arial"/>
          <w:color w:val="000000"/>
          <w:sz w:val="20"/>
          <w:szCs w:val="20"/>
          <w:vertAlign w:val="superscript"/>
        </w:rPr>
        <w:t>ème</w:t>
      </w:r>
      <w:r w:rsidRPr="00DC2D9E">
        <w:rPr>
          <w:rFonts w:ascii="Arial" w:hAnsi="Arial" w:cs="Arial"/>
          <w:color w:val="000000"/>
          <w:sz w:val="20"/>
          <w:szCs w:val="20"/>
        </w:rPr>
        <w:t xml:space="preserve"> Année d’Internat)</w:t>
      </w:r>
    </w:p>
    <w:p w:rsidR="00C6632E" w:rsidRDefault="009B073F" w:rsidP="00A107D0">
      <w:pPr>
        <w:spacing w:after="0"/>
        <w:ind w:left="-567" w:right="-70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6632E">
        <w:rPr>
          <w:rFonts w:ascii="Arial" w:hAnsi="Arial" w:cs="Arial"/>
          <w:b/>
          <w:color w:val="0070C0"/>
          <w:sz w:val="28"/>
          <w:szCs w:val="28"/>
        </w:rPr>
        <w:t xml:space="preserve">Arrêté du </w:t>
      </w:r>
      <w:r w:rsidR="004920C1">
        <w:rPr>
          <w:rFonts w:ascii="Arial" w:hAnsi="Arial" w:cs="Arial"/>
          <w:b/>
          <w:color w:val="0070C0"/>
          <w:sz w:val="28"/>
          <w:szCs w:val="28"/>
        </w:rPr>
        <w:t>4 octobre 2019</w:t>
      </w:r>
      <w:r w:rsidRPr="00C6632E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4920C1" w:rsidRDefault="004920C1">
      <w:pPr>
        <w:ind w:left="-567" w:right="-709"/>
        <w:rPr>
          <w:rFonts w:ascii="Arial" w:hAnsi="Arial" w:cs="Arial"/>
          <w:color w:val="000000"/>
          <w:sz w:val="19"/>
          <w:szCs w:val="19"/>
        </w:rPr>
      </w:pPr>
    </w:p>
    <w:p w:rsidR="004920C1" w:rsidRDefault="004920C1" w:rsidP="004920C1">
      <w:pPr>
        <w:jc w:val="both"/>
        <w:rPr>
          <w:rFonts w:asciiTheme="majorHAnsi" w:hAnsiTheme="majorHAnsi"/>
        </w:rPr>
      </w:pPr>
      <w:r w:rsidRPr="002654B6">
        <w:rPr>
          <w:rFonts w:asciiTheme="majorHAnsi" w:hAnsiTheme="majorHAnsi"/>
        </w:rPr>
        <w:t>Avec la mise en place de la R3C, la thèse d’exercice et le mémoire de DES sont soutenus séparément (phase d’approfondissement pour la thèse d’exercice et consoli</w:t>
      </w:r>
      <w:r>
        <w:rPr>
          <w:rFonts w:asciiTheme="majorHAnsi" w:hAnsiTheme="majorHAnsi"/>
        </w:rPr>
        <w:t>dation pour le mémoire de DES).</w:t>
      </w:r>
    </w:p>
    <w:p w:rsidR="004920C1" w:rsidRDefault="004920C1" w:rsidP="004920C1">
      <w:pPr>
        <w:jc w:val="both"/>
        <w:rPr>
          <w:rFonts w:asciiTheme="majorHAnsi" w:hAnsiTheme="majorHAnsi"/>
        </w:rPr>
      </w:pPr>
      <w:r w:rsidRPr="002654B6">
        <w:rPr>
          <w:rFonts w:asciiTheme="majorHAnsi" w:hAnsiTheme="majorHAnsi"/>
        </w:rPr>
        <w:t>Lors de la phase de consolidation, les internes ont soutenu la thèse d’exercice. Ils sont alors inscrits à l’Ordre des pharmaciens et ont le titre de docteur junior.</w:t>
      </w:r>
    </w:p>
    <w:p w:rsidR="004920C1" w:rsidRPr="002654B6" w:rsidRDefault="004920C1" w:rsidP="004920C1">
      <w:pPr>
        <w:jc w:val="both"/>
        <w:rPr>
          <w:rFonts w:asciiTheme="majorHAnsi" w:hAnsiTheme="majorHAnsi"/>
        </w:rPr>
      </w:pPr>
      <w:r w:rsidRPr="002654B6">
        <w:rPr>
          <w:rFonts w:asciiTheme="majorHAnsi" w:hAnsiTheme="majorHAnsi"/>
        </w:rPr>
        <w:t>La thèse et le mémoire de DES peuvent porter sur des sujets différents</w:t>
      </w:r>
      <w:r>
        <w:rPr>
          <w:rFonts w:asciiTheme="majorHAnsi" w:hAnsiTheme="majorHAnsi"/>
        </w:rPr>
        <w:t xml:space="preserve"> si l’interne le souhaite</w:t>
      </w:r>
      <w:r w:rsidRPr="002654B6">
        <w:rPr>
          <w:rFonts w:asciiTheme="majorHAnsi" w:hAnsiTheme="majorHAnsi"/>
        </w:rPr>
        <w:t>. Toutefois, nous proposons que les 2 travaux portent sur le même sujet</w:t>
      </w:r>
      <w:r>
        <w:rPr>
          <w:rFonts w:asciiTheme="majorHAnsi" w:hAnsiTheme="majorHAnsi"/>
        </w:rPr>
        <w:t xml:space="preserve"> et soient issus du même projet</w:t>
      </w:r>
      <w:r w:rsidRPr="002654B6">
        <w:rPr>
          <w:rFonts w:asciiTheme="majorHAnsi" w:hAnsiTheme="majorHAnsi"/>
        </w:rPr>
        <w:t xml:space="preserve">. La partie bibliographique est présentée pour la thèse d’exercice et la partie expérimentale pour le mémoire de DES. </w:t>
      </w:r>
      <w:r w:rsidRPr="00240925">
        <w:rPr>
          <w:rFonts w:asciiTheme="majorHAnsi" w:hAnsiTheme="majorHAnsi"/>
          <w:u w:val="single"/>
        </w:rPr>
        <w:t>Le mémoire de DES doit pouvoir faire l’objet d’une publication</w:t>
      </w:r>
      <w:r w:rsidRPr="002654B6">
        <w:rPr>
          <w:rFonts w:asciiTheme="majorHAnsi" w:hAnsiTheme="majorHAnsi"/>
        </w:rPr>
        <w:t xml:space="preserve"> (article en français ou en anglais</w:t>
      </w:r>
      <w:r>
        <w:rPr>
          <w:rFonts w:asciiTheme="majorHAnsi" w:hAnsiTheme="majorHAnsi"/>
        </w:rPr>
        <w:t>,</w:t>
      </w:r>
      <w:r w:rsidRPr="002654B6">
        <w:rPr>
          <w:rFonts w:asciiTheme="majorHAnsi" w:hAnsiTheme="majorHAnsi"/>
        </w:rPr>
        <w:t xml:space="preserve"> à destination de jour</w:t>
      </w:r>
      <w:r>
        <w:rPr>
          <w:rFonts w:asciiTheme="majorHAnsi" w:hAnsiTheme="majorHAnsi"/>
        </w:rPr>
        <w:t>naux scientifiques à comité</w:t>
      </w:r>
      <w:r w:rsidRPr="002654B6">
        <w:rPr>
          <w:rFonts w:asciiTheme="majorHAnsi" w:hAnsiTheme="majorHAnsi"/>
        </w:rPr>
        <w:t xml:space="preserve"> de lecture ou de journaux professionnels). Nous encourageons fortement à ce que l’</w:t>
      </w:r>
      <w:r w:rsidRPr="00240925">
        <w:rPr>
          <w:rFonts w:asciiTheme="majorHAnsi" w:hAnsiTheme="majorHAnsi"/>
          <w:u w:val="single"/>
        </w:rPr>
        <w:t>article soit au minimum prêt à être soumis</w:t>
      </w:r>
      <w:r w:rsidRPr="002654B6">
        <w:rPr>
          <w:rFonts w:asciiTheme="majorHAnsi" w:hAnsiTheme="majorHAnsi"/>
        </w:rPr>
        <w:t xml:space="preserve"> au moment de la soutenance du mémoire de DES.</w:t>
      </w:r>
    </w:p>
    <w:p w:rsidR="004920C1" w:rsidRPr="002654B6" w:rsidRDefault="004920C1" w:rsidP="004920C1">
      <w:pPr>
        <w:rPr>
          <w:rFonts w:asciiTheme="majorHAnsi" w:hAnsiTheme="majorHAnsi"/>
        </w:rPr>
      </w:pPr>
      <w:r w:rsidRPr="002654B6">
        <w:rPr>
          <w:rFonts w:asciiTheme="majorHAnsi" w:hAnsiTheme="majorHAnsi"/>
        </w:rPr>
        <w:t>Les modalités de validation de la thèse et du DES</w:t>
      </w:r>
      <w:r>
        <w:rPr>
          <w:rFonts w:asciiTheme="majorHAnsi" w:hAnsiTheme="majorHAnsi"/>
        </w:rPr>
        <w:t xml:space="preserve"> sont résumées dans le tableau ci-dessous</w:t>
      </w:r>
      <w:r w:rsidRPr="002654B6">
        <w:rPr>
          <w:rFonts w:asciiTheme="majorHAnsi" w:hAnsiTheme="majorHAnsi"/>
        </w:rPr>
        <w:t xml:space="preserve">. </w:t>
      </w:r>
    </w:p>
    <w:p w:rsidR="004920C1" w:rsidRPr="002654B6" w:rsidRDefault="004920C1" w:rsidP="004920C1">
      <w:pPr>
        <w:rPr>
          <w:rFonts w:asciiTheme="majorHAnsi" w:hAnsiTheme="majorHAnsi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3969"/>
      </w:tblGrid>
      <w:tr w:rsidR="004920C1" w:rsidRPr="004920C1" w:rsidTr="006D0070">
        <w:tc>
          <w:tcPr>
            <w:tcW w:w="1384" w:type="dxa"/>
            <w:vAlign w:val="center"/>
          </w:tcPr>
          <w:p w:rsidR="004920C1" w:rsidRPr="004920C1" w:rsidRDefault="004920C1" w:rsidP="004920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BDBDB" w:themeFill="accent3" w:themeFillTint="66"/>
            <w:vAlign w:val="center"/>
          </w:tcPr>
          <w:p w:rsidR="004920C1" w:rsidRPr="004920C1" w:rsidRDefault="004920C1" w:rsidP="004920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920C1">
              <w:rPr>
                <w:rFonts w:asciiTheme="majorHAnsi" w:hAnsiTheme="majorHAnsi"/>
                <w:b/>
                <w:sz w:val="22"/>
                <w:szCs w:val="22"/>
              </w:rPr>
              <w:t>Thèse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d’exercice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4920C1" w:rsidRPr="004920C1" w:rsidRDefault="004920C1" w:rsidP="004920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920C1">
              <w:rPr>
                <w:rFonts w:asciiTheme="majorHAnsi" w:hAnsiTheme="majorHAnsi"/>
                <w:b/>
                <w:sz w:val="22"/>
                <w:szCs w:val="22"/>
              </w:rPr>
              <w:t>Mémoire de DES</w:t>
            </w:r>
          </w:p>
        </w:tc>
      </w:tr>
      <w:tr w:rsidR="004920C1" w:rsidRPr="002654B6" w:rsidTr="006D0070">
        <w:tc>
          <w:tcPr>
            <w:tcW w:w="1384" w:type="dxa"/>
            <w:vAlign w:val="center"/>
          </w:tcPr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 de s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outenance</w:t>
            </w:r>
          </w:p>
        </w:tc>
        <w:tc>
          <w:tcPr>
            <w:tcW w:w="3827" w:type="dxa"/>
            <w:shd w:val="clear" w:color="auto" w:fill="DBDBDB" w:themeFill="accent3" w:themeFillTint="66"/>
            <w:vAlign w:val="center"/>
          </w:tcPr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 cours de la phase d’a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pprofondissement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 cours de la phase de c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onsolidation</w:t>
            </w:r>
          </w:p>
        </w:tc>
      </w:tr>
      <w:tr w:rsidR="004920C1" w:rsidRPr="002654B6" w:rsidTr="006D0070">
        <w:tc>
          <w:tcPr>
            <w:tcW w:w="1384" w:type="dxa"/>
            <w:vAlign w:val="center"/>
          </w:tcPr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 w:rsidRPr="002654B6">
              <w:rPr>
                <w:rFonts w:asciiTheme="majorHAnsi" w:hAnsiTheme="majorHAnsi"/>
                <w:sz w:val="22"/>
                <w:szCs w:val="22"/>
              </w:rPr>
              <w:t>Jury</w:t>
            </w:r>
          </w:p>
        </w:tc>
        <w:tc>
          <w:tcPr>
            <w:tcW w:w="3827" w:type="dxa"/>
            <w:shd w:val="clear" w:color="auto" w:fill="DBDBDB" w:themeFill="accent3" w:themeFillTint="66"/>
            <w:vAlign w:val="center"/>
          </w:tcPr>
          <w:p w:rsidR="004920C1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920C1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Au moins 4 membres dont 2 PU(PH)/MCU(PH)*</w:t>
            </w:r>
            <w:r w:rsidR="006F16C2">
              <w:rPr>
                <w:rFonts w:asciiTheme="majorHAnsi" w:hAnsiTheme="majorHAnsi"/>
                <w:sz w:val="22"/>
                <w:szCs w:val="22"/>
              </w:rPr>
              <w:t xml:space="preserve"> des disciplines pharmaceutiques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, 1 pharmacien PH</w:t>
            </w:r>
          </w:p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Président du jury : PU(PH) ou MCU(PH)-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HDR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 xml:space="preserve">des disciplines pharmaceutiques </w:t>
            </w:r>
            <w:r>
              <w:rPr>
                <w:rFonts w:asciiTheme="majorHAnsi" w:hAnsiTheme="majorHAnsi"/>
                <w:sz w:val="22"/>
                <w:szCs w:val="22"/>
              </w:rPr>
              <w:t>appartenant à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 xml:space="preserve"> l’université d’inscription de l’interne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4920C1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920C1" w:rsidRPr="002F33FD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2F33FD">
              <w:rPr>
                <w:rFonts w:asciiTheme="majorHAnsi" w:hAnsiTheme="majorHAnsi"/>
                <w:sz w:val="22"/>
                <w:szCs w:val="22"/>
              </w:rPr>
              <w:t>Au moins 4 membres dont 2 PU(PH)/MCU(PH) dont 1 HDR, 1 pharmacien PH</w:t>
            </w:r>
          </w:p>
          <w:p w:rsidR="004920C1" w:rsidRPr="002F33FD" w:rsidRDefault="004920C1" w:rsidP="006D0070">
            <w:pPr>
              <w:pStyle w:val="Paragraphedeliste"/>
              <w:rPr>
                <w:rFonts w:asciiTheme="majorHAnsi" w:hAnsiTheme="majorHAnsi"/>
                <w:sz w:val="22"/>
                <w:szCs w:val="22"/>
              </w:rPr>
            </w:pPr>
          </w:p>
          <w:p w:rsidR="004920C1" w:rsidRPr="002654B6" w:rsidRDefault="004920C1" w:rsidP="006D0070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Roman"/>
                <w:color w:val="000000"/>
                <w:sz w:val="22"/>
                <w:szCs w:val="22"/>
              </w:rPr>
              <w:t xml:space="preserve">- </w:t>
            </w:r>
            <w:r w:rsidRPr="002654B6">
              <w:rPr>
                <w:rFonts w:asciiTheme="majorHAnsi" w:hAnsiTheme="majorHAnsi" w:cs="Times Roman"/>
                <w:color w:val="000000"/>
                <w:sz w:val="22"/>
                <w:szCs w:val="22"/>
              </w:rPr>
              <w:t>Au moins deux membres du jury sont spécialistes du domaine concerné par le mémoire</w:t>
            </w:r>
          </w:p>
          <w:p w:rsidR="004920C1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Président 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du 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jury : désigné parmi les membres du jury</w:t>
            </w:r>
          </w:p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920C1" w:rsidRPr="002654B6" w:rsidTr="006D0070">
        <w:tc>
          <w:tcPr>
            <w:tcW w:w="1384" w:type="dxa"/>
            <w:vAlign w:val="center"/>
          </w:tcPr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 w:rsidRPr="002654B6">
              <w:rPr>
                <w:rFonts w:asciiTheme="majorHAnsi" w:hAnsiTheme="majorHAnsi"/>
                <w:sz w:val="22"/>
                <w:szCs w:val="22"/>
              </w:rPr>
              <w:t>Organisation de la soutenance</w:t>
            </w:r>
          </w:p>
        </w:tc>
        <w:tc>
          <w:tcPr>
            <w:tcW w:w="3827" w:type="dxa"/>
            <w:shd w:val="clear" w:color="auto" w:fill="DBDBDB" w:themeFill="accent3" w:themeFillTint="66"/>
            <w:vAlign w:val="center"/>
          </w:tcPr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 w:rsidRPr="002654B6">
              <w:rPr>
                <w:rFonts w:asciiTheme="majorHAnsi" w:hAnsiTheme="majorHAnsi"/>
                <w:sz w:val="22"/>
                <w:szCs w:val="22"/>
              </w:rPr>
              <w:t>L’interne c</w:t>
            </w:r>
            <w:r>
              <w:rPr>
                <w:rFonts w:asciiTheme="majorHAnsi" w:hAnsiTheme="majorHAnsi"/>
                <w:sz w:val="22"/>
                <w:szCs w:val="22"/>
              </w:rPr>
              <w:t>onstitue son jury et détermine l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a date de soutenance. La soutenance est publique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4920C1" w:rsidRPr="002654B6" w:rsidRDefault="004920C1" w:rsidP="006D0070">
            <w:pPr>
              <w:rPr>
                <w:rFonts w:asciiTheme="majorHAnsi" w:hAnsiTheme="majorHAnsi"/>
                <w:sz w:val="22"/>
                <w:szCs w:val="22"/>
              </w:rPr>
            </w:pPr>
            <w:r w:rsidRPr="002654B6">
              <w:rPr>
                <w:rFonts w:asciiTheme="majorHAnsi" w:hAnsiTheme="majorHAnsi"/>
                <w:sz w:val="22"/>
                <w:szCs w:val="22"/>
              </w:rPr>
              <w:t>Des jurys de spécialistes de</w:t>
            </w: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 xml:space="preserve"> domaines (Pharmacie clinique, DM-stérilisation, </w:t>
            </w:r>
            <w:proofErr w:type="gramStart"/>
            <w:r w:rsidRPr="002654B6">
              <w:rPr>
                <w:rFonts w:asciiTheme="majorHAnsi" w:hAnsiTheme="majorHAnsi"/>
                <w:sz w:val="22"/>
                <w:szCs w:val="22"/>
              </w:rPr>
              <w:t>pharmacotechnie….</w:t>
            </w:r>
            <w:proofErr w:type="gramEnd"/>
            <w:r w:rsidRPr="002654B6">
              <w:rPr>
                <w:rFonts w:asciiTheme="majorHAnsi" w:hAnsiTheme="majorHAnsi"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sont constitués par la coordination et siègent par session</w:t>
            </w: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 xml:space="preserve"> suivant un calendrier déterminé. Le directeur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du mémoire 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est invité au jury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de l’interne qu’il a dirigé</w:t>
            </w:r>
            <w:r w:rsidRPr="002654B6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:rsidR="004920C1" w:rsidRDefault="004920C1" w:rsidP="004920C1">
      <w:pPr>
        <w:rPr>
          <w:rFonts w:asciiTheme="majorHAnsi" w:hAnsiTheme="majorHAnsi"/>
        </w:rPr>
      </w:pPr>
      <w:r w:rsidRPr="002654B6">
        <w:rPr>
          <w:rFonts w:asciiTheme="majorHAnsi" w:hAnsiTheme="majorHAnsi"/>
        </w:rPr>
        <w:t>* les 2 PU(PH)/MCU(PH) peuvent appartenir à la même université</w:t>
      </w:r>
    </w:p>
    <w:p w:rsidR="004920C1" w:rsidRDefault="004920C1" w:rsidP="004920C1">
      <w:pPr>
        <w:rPr>
          <w:rFonts w:asciiTheme="majorHAnsi" w:hAnsiTheme="majorHAnsi"/>
        </w:rPr>
      </w:pPr>
    </w:p>
    <w:p w:rsidR="009B073F" w:rsidRPr="00DC2D9E" w:rsidRDefault="00C6632E">
      <w:pPr>
        <w:ind w:left="-567" w:right="-709"/>
        <w:rPr>
          <w:rFonts w:ascii="Arial" w:hAnsi="Arial" w:cs="Arial"/>
          <w:b/>
          <w:color w:val="000000"/>
          <w:sz w:val="19"/>
          <w:szCs w:val="19"/>
        </w:rPr>
      </w:pPr>
      <w:r w:rsidRPr="00A107D0">
        <w:rPr>
          <w:rFonts w:ascii="Arial" w:hAnsi="Arial" w:cs="Arial"/>
          <w:b/>
          <w:color w:val="000000"/>
          <w:sz w:val="19"/>
          <w:szCs w:val="19"/>
          <w:highlight w:val="yellow"/>
        </w:rPr>
        <w:t>15 jours avant la soutenance : Remettre au Service Scolarité – D.E.S.</w:t>
      </w:r>
      <w:r w:rsidRPr="00DC2D9E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A107D0">
        <w:rPr>
          <w:rFonts w:ascii="Arial" w:hAnsi="Arial" w:cs="Arial"/>
          <w:b/>
          <w:color w:val="000000"/>
          <w:sz w:val="19"/>
          <w:szCs w:val="19"/>
        </w:rPr>
        <w:t>(par envoi postal ou au Service Scolarité)</w:t>
      </w:r>
    </w:p>
    <w:p w:rsidR="00DC2D9E" w:rsidRDefault="00DC2D9E">
      <w:pPr>
        <w:ind w:left="-567" w:right="-709"/>
        <w:rPr>
          <w:rFonts w:ascii="Arial" w:hAnsi="Arial" w:cs="Arial"/>
          <w:color w:val="000000"/>
          <w:sz w:val="19"/>
          <w:szCs w:val="19"/>
        </w:rPr>
      </w:pPr>
      <w:r w:rsidRPr="00DC2D9E">
        <w:rPr>
          <w:rFonts w:ascii="Arial" w:hAnsi="Arial" w:cs="Arial"/>
          <w:b/>
          <w:color w:val="000000"/>
          <w:sz w:val="19"/>
          <w:szCs w:val="19"/>
        </w:rPr>
        <w:t>1/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9B073F">
        <w:rPr>
          <w:rFonts w:ascii="Arial" w:hAnsi="Arial" w:cs="Arial"/>
          <w:color w:val="000000"/>
          <w:sz w:val="19"/>
          <w:szCs w:val="19"/>
        </w:rPr>
        <w:t xml:space="preserve">Formulaire autorisation de soutenance </w:t>
      </w:r>
      <w:r w:rsidR="004920C1">
        <w:rPr>
          <w:rFonts w:ascii="Arial" w:hAnsi="Arial" w:cs="Arial"/>
          <w:color w:val="000000"/>
          <w:sz w:val="19"/>
          <w:szCs w:val="19"/>
        </w:rPr>
        <w:t xml:space="preserve">Thèse d’Exercice DES Pharmacie </w:t>
      </w:r>
      <w:r>
        <w:rPr>
          <w:rFonts w:ascii="Arial" w:hAnsi="Arial" w:cs="Arial"/>
          <w:color w:val="000000"/>
          <w:sz w:val="19"/>
          <w:szCs w:val="19"/>
        </w:rPr>
        <w:t xml:space="preserve">signé du Coordonnateur du D.E.S. </w:t>
      </w:r>
      <w:r w:rsidR="004920C1">
        <w:rPr>
          <w:rFonts w:ascii="Arial" w:hAnsi="Arial" w:cs="Arial"/>
          <w:color w:val="000000"/>
          <w:sz w:val="19"/>
          <w:szCs w:val="19"/>
        </w:rPr>
        <w:t>Pharmacie hospitalière</w:t>
      </w:r>
      <w:r>
        <w:rPr>
          <w:rFonts w:ascii="Arial" w:hAnsi="Arial" w:cs="Arial"/>
          <w:color w:val="000000"/>
          <w:sz w:val="19"/>
          <w:szCs w:val="19"/>
        </w:rPr>
        <w:t xml:space="preserve"> et du Président de Jury</w:t>
      </w:r>
    </w:p>
    <w:p w:rsidR="00C6632E" w:rsidRDefault="00DC2D9E">
      <w:pPr>
        <w:ind w:left="-567" w:right="-709"/>
        <w:rPr>
          <w:rFonts w:ascii="Arial" w:hAnsi="Arial" w:cs="Arial"/>
          <w:color w:val="000000"/>
          <w:sz w:val="19"/>
          <w:szCs w:val="19"/>
        </w:rPr>
      </w:pPr>
      <w:r w:rsidRPr="00DC2D9E">
        <w:rPr>
          <w:rFonts w:ascii="Arial" w:hAnsi="Arial" w:cs="Arial"/>
          <w:b/>
          <w:color w:val="000000"/>
          <w:sz w:val="19"/>
          <w:szCs w:val="19"/>
        </w:rPr>
        <w:t>2/</w:t>
      </w:r>
      <w:r>
        <w:rPr>
          <w:rFonts w:ascii="Arial" w:hAnsi="Arial" w:cs="Arial"/>
          <w:color w:val="000000"/>
          <w:sz w:val="19"/>
          <w:szCs w:val="19"/>
        </w:rPr>
        <w:t xml:space="preserve"> 2 exemplaires de la Thèse conformes au règlement intérieur des Thèses</w:t>
      </w:r>
    </w:p>
    <w:p w:rsidR="00DC2D9E" w:rsidRPr="004920C1" w:rsidRDefault="00DC2D9E">
      <w:pPr>
        <w:ind w:left="-567" w:right="-709"/>
        <w:rPr>
          <w:rFonts w:ascii="Arial" w:hAnsi="Arial" w:cs="Arial"/>
          <w:color w:val="000000"/>
          <w:sz w:val="19"/>
          <w:szCs w:val="19"/>
        </w:rPr>
      </w:pPr>
      <w:r w:rsidRPr="004920C1">
        <w:rPr>
          <w:rFonts w:ascii="Arial" w:hAnsi="Arial" w:cs="Arial"/>
          <w:color w:val="000000"/>
          <w:sz w:val="19"/>
          <w:szCs w:val="19"/>
        </w:rPr>
        <w:t xml:space="preserve">3/ Formulaire d’enregistrement </w:t>
      </w:r>
      <w:proofErr w:type="spellStart"/>
      <w:r w:rsidRPr="004920C1">
        <w:rPr>
          <w:rFonts w:ascii="Arial" w:hAnsi="Arial" w:cs="Arial"/>
          <w:color w:val="000000"/>
          <w:sz w:val="19"/>
          <w:szCs w:val="19"/>
        </w:rPr>
        <w:t>Bibiliothèque</w:t>
      </w:r>
      <w:proofErr w:type="spellEnd"/>
      <w:r w:rsidRPr="004920C1">
        <w:rPr>
          <w:rFonts w:ascii="Arial" w:hAnsi="Arial" w:cs="Arial"/>
          <w:color w:val="000000"/>
          <w:sz w:val="19"/>
          <w:szCs w:val="19"/>
        </w:rPr>
        <w:t xml:space="preserve"> complété soigneusement</w:t>
      </w:r>
    </w:p>
    <w:p w:rsidR="00FE3524" w:rsidRPr="004920C1" w:rsidRDefault="004920C1">
      <w:pPr>
        <w:ind w:left="-567" w:right="-709"/>
        <w:rPr>
          <w:rFonts w:ascii="Arial" w:hAnsi="Arial" w:cs="Arial"/>
          <w:b/>
          <w:color w:val="000000"/>
          <w:sz w:val="19"/>
          <w:szCs w:val="19"/>
        </w:rPr>
      </w:pPr>
      <w:r w:rsidRPr="004920C1">
        <w:rPr>
          <w:rFonts w:ascii="Arial" w:hAnsi="Arial" w:cs="Arial"/>
          <w:b/>
          <w:color w:val="000000"/>
          <w:sz w:val="19"/>
          <w:szCs w:val="19"/>
        </w:rPr>
        <w:t>Vous trouverez sur le site internet de la Faculté de Pharmacie les documents suivants à télécharger :</w:t>
      </w:r>
    </w:p>
    <w:p w:rsidR="00FE3524" w:rsidRPr="00FE3524" w:rsidRDefault="00FE3524">
      <w:pPr>
        <w:ind w:left="-567" w:right="-709"/>
        <w:rPr>
          <w:rFonts w:ascii="Arial" w:hAnsi="Arial" w:cs="Arial"/>
          <w:b/>
          <w:color w:val="0070C0"/>
          <w:sz w:val="19"/>
          <w:szCs w:val="19"/>
        </w:rPr>
      </w:pPr>
      <w:r w:rsidRPr="00FE3524">
        <w:rPr>
          <w:rFonts w:ascii="Arial" w:hAnsi="Arial" w:cs="Arial"/>
          <w:b/>
          <w:color w:val="0070C0"/>
          <w:sz w:val="19"/>
          <w:szCs w:val="19"/>
        </w:rPr>
        <w:t>Modèle pages de couverture de la thèse</w:t>
      </w:r>
    </w:p>
    <w:p w:rsidR="00FE3524" w:rsidRDefault="00FE3524">
      <w:pPr>
        <w:ind w:left="-567" w:right="-709"/>
        <w:rPr>
          <w:rFonts w:ascii="Arial" w:hAnsi="Arial" w:cs="Arial"/>
          <w:b/>
          <w:color w:val="0070C0"/>
          <w:sz w:val="19"/>
          <w:szCs w:val="19"/>
        </w:rPr>
      </w:pPr>
      <w:r w:rsidRPr="00FE3524">
        <w:rPr>
          <w:rFonts w:ascii="Arial" w:hAnsi="Arial" w:cs="Arial"/>
          <w:b/>
          <w:color w:val="0070C0"/>
          <w:sz w:val="19"/>
          <w:szCs w:val="19"/>
        </w:rPr>
        <w:t xml:space="preserve">Formulaire Attestation de soutenance Thèse d’exercice pour les internes en </w:t>
      </w:r>
      <w:r w:rsidR="004920C1">
        <w:rPr>
          <w:rFonts w:ascii="Arial" w:hAnsi="Arial" w:cs="Arial"/>
          <w:b/>
          <w:color w:val="0070C0"/>
          <w:sz w:val="19"/>
          <w:szCs w:val="19"/>
        </w:rPr>
        <w:t>Pharmacie hospitalière</w:t>
      </w:r>
    </w:p>
    <w:p w:rsidR="00DC2D9E" w:rsidRDefault="00DC2D9E">
      <w:pPr>
        <w:ind w:left="-567" w:right="-709"/>
        <w:rPr>
          <w:rFonts w:ascii="Arial" w:hAnsi="Arial" w:cs="Arial"/>
          <w:b/>
          <w:color w:val="0070C0"/>
          <w:sz w:val="19"/>
          <w:szCs w:val="19"/>
        </w:rPr>
      </w:pPr>
      <w:r>
        <w:rPr>
          <w:rFonts w:ascii="Arial" w:hAnsi="Arial" w:cs="Arial"/>
          <w:b/>
          <w:color w:val="0070C0"/>
          <w:sz w:val="19"/>
          <w:szCs w:val="19"/>
        </w:rPr>
        <w:t>Serment du Pharmacien</w:t>
      </w:r>
    </w:p>
    <w:p w:rsidR="00B0151D" w:rsidRDefault="00B0151D">
      <w:pPr>
        <w:ind w:left="-567" w:right="-709"/>
        <w:rPr>
          <w:rFonts w:ascii="Arial" w:hAnsi="Arial" w:cs="Arial"/>
          <w:b/>
          <w:color w:val="0070C0"/>
          <w:sz w:val="19"/>
          <w:szCs w:val="19"/>
        </w:rPr>
      </w:pPr>
      <w:r>
        <w:rPr>
          <w:rFonts w:ascii="Arial" w:hAnsi="Arial" w:cs="Arial"/>
          <w:b/>
          <w:color w:val="0070C0"/>
          <w:sz w:val="19"/>
          <w:szCs w:val="19"/>
        </w:rPr>
        <w:t>Guide de la thèse</w:t>
      </w:r>
    </w:p>
    <w:p w:rsidR="00DC2D9E" w:rsidRPr="00FE3524" w:rsidRDefault="00DC2D9E">
      <w:pPr>
        <w:ind w:left="-567" w:right="-709"/>
        <w:rPr>
          <w:rFonts w:ascii="Arial" w:hAnsi="Arial" w:cs="Arial"/>
          <w:b/>
          <w:color w:val="0070C0"/>
          <w:sz w:val="19"/>
          <w:szCs w:val="19"/>
        </w:rPr>
      </w:pPr>
      <w:r>
        <w:rPr>
          <w:rFonts w:ascii="Arial" w:hAnsi="Arial" w:cs="Arial"/>
          <w:b/>
          <w:color w:val="0070C0"/>
          <w:sz w:val="19"/>
          <w:szCs w:val="19"/>
        </w:rPr>
        <w:t>Formulaire enregistrement Bibliothèque</w:t>
      </w:r>
    </w:p>
    <w:p w:rsidR="00A107D0" w:rsidRDefault="00A107D0">
      <w:pPr>
        <w:ind w:left="-567" w:right="-70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Attention, la soutenance de la Thèse doit se dérouler dans les locaux de l’UFR Pharmacie. La réservation de la salle des Thèses ou autre salle doit se faire au minimum 3 semaines avant la soutenance auprès du Service Scolarité.</w:t>
      </w:r>
    </w:p>
    <w:p w:rsidR="00A107D0" w:rsidRDefault="00A107D0">
      <w:pPr>
        <w:ind w:left="-567" w:right="-70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Si pour des raisons justifiées, votre soutenance doit avoir lieu à l’extérieur de la Faculté avec l’accord de votre président de jury, merci de transmettre un courrier de demande de dérogation à l’attention du Doyen à l’adresse : </w:t>
      </w:r>
      <w:hyperlink r:id="rId6" w:history="1">
        <w:r w:rsidR="00EA44F6" w:rsidRPr="001931F0">
          <w:rPr>
            <w:rStyle w:val="Lienhypertexte"/>
            <w:rFonts w:ascii="Arial" w:hAnsi="Arial" w:cs="Arial"/>
            <w:sz w:val="19"/>
            <w:szCs w:val="19"/>
          </w:rPr>
          <w:t>celine.cenarbieux@universite-paris-saclay.fr</w:t>
        </w:r>
      </w:hyperlink>
    </w:p>
    <w:p w:rsidR="00FE3524" w:rsidRPr="00B0151D" w:rsidRDefault="00FE3524">
      <w:pPr>
        <w:ind w:left="-567" w:right="-709"/>
        <w:rPr>
          <w:b/>
        </w:rPr>
      </w:pPr>
      <w:r w:rsidRPr="00B0151D">
        <w:rPr>
          <w:rFonts w:ascii="Arial" w:hAnsi="Arial" w:cs="Arial"/>
          <w:b/>
          <w:color w:val="000000"/>
          <w:sz w:val="19"/>
          <w:szCs w:val="19"/>
        </w:rPr>
        <w:t>L’attestation de réussite au Diplôme d’Etat de Docteur en Pharmacie sera délivrée à l’interne en vue de son inscription au Conseil de l’Ordre</w:t>
      </w:r>
      <w:r w:rsidR="00B0151D">
        <w:rPr>
          <w:rFonts w:ascii="Arial" w:hAnsi="Arial" w:cs="Arial"/>
          <w:b/>
          <w:color w:val="000000"/>
          <w:sz w:val="19"/>
          <w:szCs w:val="19"/>
        </w:rPr>
        <w:t xml:space="preserve"> 2 jours ouvrables après réception de l’attestation de soutenance</w:t>
      </w:r>
      <w:r w:rsidR="004920C1">
        <w:rPr>
          <w:rFonts w:ascii="Arial" w:hAnsi="Arial" w:cs="Arial"/>
          <w:b/>
          <w:color w:val="000000"/>
          <w:sz w:val="19"/>
          <w:szCs w:val="19"/>
        </w:rPr>
        <w:t xml:space="preserve"> et de la validation de la phase d’approfondisse</w:t>
      </w:r>
      <w:bookmarkStart w:id="0" w:name="_GoBack"/>
      <w:bookmarkEnd w:id="0"/>
      <w:r w:rsidR="004920C1">
        <w:rPr>
          <w:rFonts w:ascii="Arial" w:hAnsi="Arial" w:cs="Arial"/>
          <w:b/>
          <w:color w:val="000000"/>
          <w:sz w:val="19"/>
          <w:szCs w:val="19"/>
        </w:rPr>
        <w:t>ment</w:t>
      </w:r>
      <w:r w:rsidRPr="00B0151D">
        <w:rPr>
          <w:rFonts w:ascii="Arial" w:hAnsi="Arial" w:cs="Arial"/>
          <w:b/>
          <w:color w:val="000000"/>
          <w:sz w:val="19"/>
          <w:szCs w:val="19"/>
        </w:rPr>
        <w:t>.</w:t>
      </w:r>
    </w:p>
    <w:sectPr w:rsidR="00FE3524" w:rsidRPr="00B0151D" w:rsidSect="00DC2D9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3F"/>
    <w:rsid w:val="00095AEC"/>
    <w:rsid w:val="004920C1"/>
    <w:rsid w:val="005265E5"/>
    <w:rsid w:val="00644FE5"/>
    <w:rsid w:val="00682572"/>
    <w:rsid w:val="006F16C2"/>
    <w:rsid w:val="009B073F"/>
    <w:rsid w:val="009B4762"/>
    <w:rsid w:val="00A107D0"/>
    <w:rsid w:val="00B0151D"/>
    <w:rsid w:val="00B1073B"/>
    <w:rsid w:val="00C6632E"/>
    <w:rsid w:val="00DC2D9E"/>
    <w:rsid w:val="00EA44F6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A25C4"/>
  <w15:chartTrackingRefBased/>
  <w15:docId w15:val="{05735EB6-1BF3-437D-8DC9-71EE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073F"/>
    <w:rPr>
      <w:color w:val="0000FF"/>
      <w:u w:val="single"/>
    </w:rPr>
  </w:style>
  <w:style w:type="character" w:customStyle="1" w:styleId="surlignage">
    <w:name w:val="surlignage"/>
    <w:basedOn w:val="Policepardfaut"/>
    <w:rsid w:val="009B073F"/>
  </w:style>
  <w:style w:type="paragraph" w:styleId="Paragraphedeliste">
    <w:name w:val="List Paragraph"/>
    <w:basedOn w:val="Normal"/>
    <w:uiPriority w:val="34"/>
    <w:qFormat/>
    <w:rsid w:val="004920C1"/>
    <w:pPr>
      <w:ind w:left="720"/>
      <w:contextualSpacing/>
    </w:pPr>
  </w:style>
  <w:style w:type="table" w:styleId="Grilledutableau">
    <w:name w:val="Table Grid"/>
    <w:basedOn w:val="TableauNormal"/>
    <w:uiPriority w:val="59"/>
    <w:rsid w:val="004920C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A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ine.cenarbieux@universite-paris-saclay.fr" TargetMode="External"/><Relationship Id="rId5" Type="http://schemas.openxmlformats.org/officeDocument/2006/relationships/image" Target="https://zutil.di.u-psud.fr/signature/images/EQ9TvSlB5TtwqrDXCLQJx9B08ZK90wVRE5vM6k-cJp4KYitxnryNtYBkHBdrRJY4ijF0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Buffat</dc:creator>
  <cp:keywords/>
  <dc:description/>
  <cp:lastModifiedBy>Céline Cenarbieux</cp:lastModifiedBy>
  <cp:revision>4</cp:revision>
  <dcterms:created xsi:type="dcterms:W3CDTF">2021-11-09T16:38:00Z</dcterms:created>
  <dcterms:modified xsi:type="dcterms:W3CDTF">2023-01-09T14:23:00Z</dcterms:modified>
</cp:coreProperties>
</file>